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745A8" w14:textId="6C680795" w:rsidR="002424DE" w:rsidRPr="00EE7BB6" w:rsidRDefault="00EE7BB6" w:rsidP="00EE7BB6">
      <w:pPr>
        <w:spacing w:line="360" w:lineRule="auto"/>
        <w:ind w:firstLine="709"/>
        <w:jc w:val="center"/>
        <w:rPr>
          <w:rFonts w:eastAsia="Times New Roman"/>
          <w:b/>
          <w:color w:val="222222"/>
          <w:sz w:val="28"/>
          <w:szCs w:val="28"/>
          <w:shd w:val="clear" w:color="auto" w:fill="FFFFFF"/>
        </w:rPr>
      </w:pPr>
      <w:r w:rsidRPr="00EE7BB6">
        <w:rPr>
          <w:rFonts w:eastAsia="Times New Roman"/>
          <w:b/>
          <w:color w:val="222222"/>
          <w:sz w:val="28"/>
          <w:szCs w:val="28"/>
          <w:shd w:val="clear" w:color="auto" w:fill="FFFFFF"/>
        </w:rPr>
        <w:t xml:space="preserve">Социальное неравенство при выборе </w:t>
      </w:r>
      <w:proofErr w:type="spellStart"/>
      <w:r w:rsidRPr="00EE7BB6">
        <w:rPr>
          <w:rFonts w:eastAsia="Times New Roman"/>
          <w:b/>
          <w:color w:val="222222"/>
          <w:sz w:val="28"/>
          <w:szCs w:val="28"/>
          <w:shd w:val="clear" w:color="auto" w:fill="FFFFFF"/>
        </w:rPr>
        <w:t>послешкольной</w:t>
      </w:r>
      <w:proofErr w:type="spellEnd"/>
      <w:r w:rsidRPr="00EE7BB6">
        <w:rPr>
          <w:rFonts w:eastAsia="Times New Roman"/>
          <w:b/>
          <w:color w:val="222222"/>
          <w:sz w:val="28"/>
          <w:szCs w:val="28"/>
          <w:shd w:val="clear" w:color="auto" w:fill="FFFFFF"/>
        </w:rPr>
        <w:t xml:space="preserve"> траектории</w:t>
      </w:r>
    </w:p>
    <w:p w14:paraId="59820789" w14:textId="6DF7BFC9" w:rsidR="00EE7BB6" w:rsidRPr="00EE7BB6" w:rsidRDefault="00EE7BB6" w:rsidP="00D77C9C">
      <w:pPr>
        <w:spacing w:line="360" w:lineRule="auto"/>
        <w:ind w:firstLine="709"/>
        <w:jc w:val="both"/>
        <w:rPr>
          <w:b/>
          <w:lang w:val="en-US"/>
        </w:rPr>
      </w:pPr>
      <w:proofErr w:type="spellStart"/>
      <w:r w:rsidRPr="00EE7BB6">
        <w:rPr>
          <w:b/>
          <w:lang w:val="en-US"/>
        </w:rPr>
        <w:t>Тезисы</w:t>
      </w:r>
      <w:proofErr w:type="spellEnd"/>
    </w:p>
    <w:p w14:paraId="35244D40" w14:textId="763D6F63" w:rsidR="009D0D25" w:rsidRDefault="009D0D25" w:rsidP="00D77C9C">
      <w:pPr>
        <w:spacing w:line="360" w:lineRule="auto"/>
        <w:ind w:firstLine="709"/>
        <w:jc w:val="both"/>
      </w:pPr>
      <w:r>
        <w:t>М</w:t>
      </w:r>
      <w:r w:rsidR="004E4C56" w:rsidRPr="00D77C9C">
        <w:t xml:space="preserve">ногочисленные эмпирические и теоретические исследования </w:t>
      </w:r>
      <w:r w:rsidR="00EE7BB6">
        <w:t>во всем мире говорят о том, что</w:t>
      </w:r>
      <w:r>
        <w:t xml:space="preserve"> выбор образовательной траектории школьников во многом обусловлен социальным происхождением учащихся и </w:t>
      </w:r>
      <w:r w:rsidR="004E4C56" w:rsidRPr="00D77C9C">
        <w:t>несмотря на проводимые реформы в области образования, неравенство продолжает сохраняться [</w:t>
      </w:r>
      <w:r w:rsidR="004E4C56" w:rsidRPr="00D77C9C">
        <w:rPr>
          <w:rFonts w:eastAsia="Times New Roman"/>
          <w:lang w:val="en-US"/>
        </w:rPr>
        <w:t>Lucas</w:t>
      </w:r>
      <w:r w:rsidR="00646DD7">
        <w:rPr>
          <w:rFonts w:eastAsia="Times New Roman"/>
        </w:rPr>
        <w:t>,</w:t>
      </w:r>
      <w:r w:rsidR="004E4C56" w:rsidRPr="00D77C9C">
        <w:rPr>
          <w:rFonts w:eastAsia="Times New Roman"/>
        </w:rPr>
        <w:t xml:space="preserve"> 2001; </w:t>
      </w:r>
      <w:r w:rsidR="004E4C56" w:rsidRPr="00D77C9C">
        <w:rPr>
          <w:rFonts w:eastAsia="Times New Roman"/>
          <w:lang w:val="en-US"/>
        </w:rPr>
        <w:t>Hearn</w:t>
      </w:r>
      <w:r w:rsidR="00646DD7">
        <w:rPr>
          <w:rFonts w:eastAsia="Times New Roman"/>
        </w:rPr>
        <w:t>,</w:t>
      </w:r>
      <w:r w:rsidR="004E4C56" w:rsidRPr="00D77C9C">
        <w:rPr>
          <w:rFonts w:eastAsia="Times New Roman"/>
        </w:rPr>
        <w:t xml:space="preserve"> 1988; </w:t>
      </w:r>
      <w:proofErr w:type="spellStart"/>
      <w:r w:rsidR="004E4C56" w:rsidRPr="00D77C9C">
        <w:rPr>
          <w:rFonts w:eastAsia="Times New Roman"/>
          <w:lang w:val="en-US"/>
        </w:rPr>
        <w:t>Boliver</w:t>
      </w:r>
      <w:proofErr w:type="spellEnd"/>
      <w:r w:rsidR="00646DD7">
        <w:rPr>
          <w:rFonts w:eastAsia="Times New Roman"/>
        </w:rPr>
        <w:t>,</w:t>
      </w:r>
      <w:r w:rsidR="004E4C56" w:rsidRPr="00D77C9C">
        <w:rPr>
          <w:rFonts w:eastAsia="Times New Roman"/>
        </w:rPr>
        <w:t xml:space="preserve"> 2011, </w:t>
      </w:r>
      <w:proofErr w:type="spellStart"/>
      <w:r w:rsidR="004E4C56" w:rsidRPr="00D77C9C">
        <w:rPr>
          <w:rFonts w:eastAsia="Times New Roman"/>
          <w:lang w:val="en-US"/>
        </w:rPr>
        <w:t>Raftery</w:t>
      </w:r>
      <w:proofErr w:type="spellEnd"/>
      <w:r w:rsidR="004E4C56" w:rsidRPr="00D77C9C">
        <w:rPr>
          <w:rFonts w:eastAsia="Times New Roman"/>
        </w:rPr>
        <w:t xml:space="preserve">, </w:t>
      </w:r>
      <w:proofErr w:type="spellStart"/>
      <w:r w:rsidR="004E4C56" w:rsidRPr="00D77C9C">
        <w:rPr>
          <w:rFonts w:eastAsia="Times New Roman"/>
          <w:lang w:val="en-US"/>
        </w:rPr>
        <w:t>Hout</w:t>
      </w:r>
      <w:proofErr w:type="spellEnd"/>
      <w:r w:rsidR="00646DD7">
        <w:rPr>
          <w:rFonts w:eastAsia="Times New Roman"/>
        </w:rPr>
        <w:t>,</w:t>
      </w:r>
      <w:r w:rsidR="004E4C56" w:rsidRPr="00D77C9C">
        <w:rPr>
          <w:rFonts w:eastAsia="Times New Roman"/>
        </w:rPr>
        <w:t xml:space="preserve"> 1993</w:t>
      </w:r>
      <w:r w:rsidR="004E4C56" w:rsidRPr="00D77C9C">
        <w:t xml:space="preserve">]. </w:t>
      </w:r>
      <w:r>
        <w:t xml:space="preserve">В ответ на вопрос, почему так происходит, появилась теория </w:t>
      </w:r>
      <w:r w:rsidR="00170188" w:rsidRPr="00D77C9C">
        <w:t>«</w:t>
      </w:r>
      <w:r w:rsidR="0063340B" w:rsidRPr="00D77C9C">
        <w:t>м</w:t>
      </w:r>
      <w:r w:rsidR="004E4C56" w:rsidRPr="00D77C9C">
        <w:t>аксимально поддерживаемого неравенства</w:t>
      </w:r>
      <w:r w:rsidR="00170188" w:rsidRPr="00D77C9C">
        <w:t>»</w:t>
      </w:r>
      <w:r>
        <w:t>. Согласно этой теории</w:t>
      </w:r>
      <w:r w:rsidR="0083067E" w:rsidRPr="00D77C9C">
        <w:t>,</w:t>
      </w:r>
      <w:r w:rsidR="004E4C56" w:rsidRPr="00D77C9C">
        <w:t xml:space="preserve"> </w:t>
      </w:r>
      <w:r w:rsidR="0083067E" w:rsidRPr="00D77C9C">
        <w:t xml:space="preserve">если </w:t>
      </w:r>
      <w:r w:rsidR="00870C4C" w:rsidRPr="00D77C9C">
        <w:t xml:space="preserve"> некоторая ступень образования становится доступной всем социальным классам, на ней </w:t>
      </w:r>
      <w:r w:rsidR="0083067E" w:rsidRPr="00D77C9C">
        <w:t>неравенство  сжижается</w:t>
      </w:r>
      <w:r w:rsidR="00870C4C" w:rsidRPr="00D77C9C">
        <w:t xml:space="preserve">, однако </w:t>
      </w:r>
      <w:r w:rsidR="0083067E" w:rsidRPr="00D77C9C">
        <w:t>оно переходит на следующую, более высокую ступень образования.</w:t>
      </w:r>
      <w:r w:rsidR="0063340B" w:rsidRPr="00D77C9C">
        <w:t xml:space="preserve"> </w:t>
      </w:r>
    </w:p>
    <w:p w14:paraId="098DE3D6" w14:textId="4CB46EBC" w:rsidR="0083067E" w:rsidRPr="00D77C9C" w:rsidRDefault="0083067E" w:rsidP="00D77C9C">
      <w:pPr>
        <w:spacing w:line="360" w:lineRule="auto"/>
        <w:ind w:firstLine="709"/>
        <w:jc w:val="both"/>
      </w:pPr>
      <w:r w:rsidRPr="00D77C9C">
        <w:t xml:space="preserve">Лукас дополнил теорию, предложив идею </w:t>
      </w:r>
      <w:r w:rsidR="0063340B" w:rsidRPr="00D77C9C">
        <w:t>э</w:t>
      </w:r>
      <w:r w:rsidRPr="00D77C9C">
        <w:t xml:space="preserve">ффективно поддерживаемого неравенство, согласно которой, даже если некоторая ступень образования становится доступной представителям всех социальных классов, неравенство </w:t>
      </w:r>
      <w:r w:rsidR="009F43F0" w:rsidRPr="00D77C9C">
        <w:t>также может воспроизводиться в результате качественных отличий получаемого образования</w:t>
      </w:r>
      <w:r w:rsidR="0099794D" w:rsidRPr="00D77C9C">
        <w:t xml:space="preserve"> </w:t>
      </w:r>
      <w:r w:rsidR="002424DE" w:rsidRPr="00D77C9C">
        <w:t>[</w:t>
      </w:r>
      <w:r w:rsidR="002424DE" w:rsidRPr="00D77C9C">
        <w:rPr>
          <w:rFonts w:eastAsia="Times New Roman"/>
          <w:lang w:val="en-US"/>
        </w:rPr>
        <w:t>Lucas</w:t>
      </w:r>
      <w:r w:rsidR="00646DD7">
        <w:rPr>
          <w:rFonts w:eastAsia="Times New Roman"/>
        </w:rPr>
        <w:t>,</w:t>
      </w:r>
      <w:r w:rsidR="002424DE" w:rsidRPr="00D77C9C">
        <w:rPr>
          <w:rFonts w:eastAsia="Times New Roman"/>
        </w:rPr>
        <w:t xml:space="preserve">  2001</w:t>
      </w:r>
      <w:r w:rsidR="002424DE" w:rsidRPr="00D77C9C">
        <w:t>]</w:t>
      </w:r>
      <w:r w:rsidR="009F43F0" w:rsidRPr="00D77C9C">
        <w:t xml:space="preserve">. </w:t>
      </w:r>
      <w:r w:rsidR="0063340B" w:rsidRPr="00D77C9C">
        <w:t>Например, расслоение внутри школьного образования: ряд школ или определенные траектории внутри школ становятся более престижными, чем другие и, следовательно, выбор опять начинает зависеть от семьи ученика.</w:t>
      </w:r>
    </w:p>
    <w:p w14:paraId="236A4536" w14:textId="4108FE02" w:rsidR="009F43F0" w:rsidRPr="00D77C9C" w:rsidRDefault="009F43F0" w:rsidP="00D77C9C">
      <w:pPr>
        <w:spacing w:line="360" w:lineRule="auto"/>
        <w:ind w:firstLine="709"/>
        <w:jc w:val="both"/>
      </w:pPr>
      <w:r w:rsidRPr="00D77C9C">
        <w:t>В последние десятилетия в России значительно увеличилось количество высших государственных образовательных учреждений. В 1990 году таковых б</w:t>
      </w:r>
      <w:r w:rsidR="00170188" w:rsidRPr="00D77C9C">
        <w:t>ыло 514,  к 2013 стало  634.  Вследствие  этого</w:t>
      </w:r>
      <w:r w:rsidRPr="00D77C9C">
        <w:t xml:space="preserve"> также увеличилось и количество студентов в стране. Если в 1990 количество учащихся было </w:t>
      </w:r>
      <w:r w:rsidRPr="00D77C9C">
        <w:rPr>
          <w:color w:val="000000"/>
        </w:rPr>
        <w:t>2824,5</w:t>
      </w:r>
      <w:r w:rsidRPr="00D77C9C">
        <w:t xml:space="preserve"> тыс. чел., то к 2013 году численность студентов составила </w:t>
      </w:r>
      <w:r w:rsidRPr="00D77C9C">
        <w:rPr>
          <w:color w:val="000000"/>
        </w:rPr>
        <w:t>5453,9</w:t>
      </w:r>
      <w:r w:rsidRPr="00D77C9C">
        <w:t xml:space="preserve"> тыс. человек</w:t>
      </w:r>
      <w:r w:rsidRPr="00D77C9C">
        <w:rPr>
          <w:rStyle w:val="a5"/>
        </w:rPr>
        <w:footnoteReference w:id="1"/>
      </w:r>
      <w:r w:rsidRPr="00D77C9C">
        <w:t xml:space="preserve">.  Процент выпускников основной средней школы, которые поступили в государственный вуз в России вырос: в 2010 году он составлял 70,7%, тогда как в 2005 году – 54,8% а в 1995 </w:t>
      </w:r>
      <w:r w:rsidR="0099794D" w:rsidRPr="00D77C9C">
        <w:t>только</w:t>
      </w:r>
      <w:r w:rsidRPr="00D77C9C">
        <w:t xml:space="preserve"> 39,6%</w:t>
      </w:r>
      <w:r w:rsidR="00475662" w:rsidRPr="00D77C9C">
        <w:t xml:space="preserve"> </w:t>
      </w:r>
      <w:r w:rsidRPr="00D77C9C">
        <w:t>[</w:t>
      </w:r>
      <w:r w:rsidRPr="00D77C9C">
        <w:rPr>
          <w:rFonts w:eastAsia="Times New Roman"/>
        </w:rPr>
        <w:t>Константиновский, Вознесенская, Попова, Чередниченко 2015</w:t>
      </w:r>
      <w:r w:rsidRPr="00D77C9C">
        <w:t xml:space="preserve">]. </w:t>
      </w:r>
    </w:p>
    <w:p w14:paraId="3EEDF27F" w14:textId="5DBB3FD0" w:rsidR="00A231E9" w:rsidRPr="00D77C9C" w:rsidRDefault="009F43F0" w:rsidP="00D77C9C">
      <w:pPr>
        <w:spacing w:line="360" w:lineRule="auto"/>
        <w:ind w:firstLine="709"/>
        <w:jc w:val="both"/>
      </w:pPr>
      <w:r w:rsidRPr="00D77C9C">
        <w:t xml:space="preserve">Однако остается открытым вопрос о том, насколько </w:t>
      </w:r>
      <w:r w:rsidR="003020BF" w:rsidRPr="00D77C9C">
        <w:t xml:space="preserve">является </w:t>
      </w:r>
      <w:r w:rsidR="00170188" w:rsidRPr="00D77C9C">
        <w:t>равным</w:t>
      </w:r>
      <w:r w:rsidR="003020BF" w:rsidRPr="00D77C9C">
        <w:t xml:space="preserve"> доступ в с</w:t>
      </w:r>
      <w:r w:rsidR="0019115E" w:rsidRPr="00D77C9C">
        <w:t>амые узнаваемые и престижные вузы</w:t>
      </w:r>
      <w:r w:rsidR="003020BF" w:rsidRPr="00D77C9C">
        <w:t>, которые</w:t>
      </w:r>
      <w:r w:rsidR="0019115E" w:rsidRPr="00D77C9C">
        <w:t xml:space="preserve"> имеют высокий конкурс при поступлении и высокие про</w:t>
      </w:r>
      <w:r w:rsidR="003020BF" w:rsidRPr="00D77C9C">
        <w:t>ходные баллы по результатам ЕГЭ и в какой мере выбор вуза обусловлен социально-экономическим статусом</w:t>
      </w:r>
      <w:r w:rsidR="0063340B" w:rsidRPr="00D77C9C">
        <w:t xml:space="preserve"> семей</w:t>
      </w:r>
      <w:r w:rsidR="003020BF" w:rsidRPr="00D77C9C">
        <w:t xml:space="preserve"> </w:t>
      </w:r>
      <w:r w:rsidR="00A231E9" w:rsidRPr="00D77C9C">
        <w:t xml:space="preserve">выпускников. В настоящей работе </w:t>
      </w:r>
      <w:r w:rsidR="00475662" w:rsidRPr="00D77C9C">
        <w:t>используются данные</w:t>
      </w:r>
      <w:r w:rsidR="00170188" w:rsidRPr="00D77C9C">
        <w:t xml:space="preserve"> </w:t>
      </w:r>
      <w:proofErr w:type="spellStart"/>
      <w:r w:rsidR="00170188" w:rsidRPr="00D77C9C">
        <w:t>лонгитюдного</w:t>
      </w:r>
      <w:proofErr w:type="spellEnd"/>
      <w:r w:rsidR="00A231E9" w:rsidRPr="00D77C9C">
        <w:t xml:space="preserve"> </w:t>
      </w:r>
      <w:r w:rsidR="00475662" w:rsidRPr="00D77C9C">
        <w:rPr>
          <w:rFonts w:eastAsia="TimesNewRomanPSMT"/>
        </w:rPr>
        <w:t xml:space="preserve">проекта </w:t>
      </w:r>
      <w:r w:rsidR="00A231E9" w:rsidRPr="00D77C9C">
        <w:t>«</w:t>
      </w:r>
      <w:r w:rsidR="00475662" w:rsidRPr="00D77C9C">
        <w:t>Траектории в профессии и образовании</w:t>
      </w:r>
      <w:r w:rsidR="00A231E9" w:rsidRPr="00D77C9C">
        <w:t>»</w:t>
      </w:r>
      <w:r w:rsidR="00A231E9" w:rsidRPr="00D77C9C">
        <w:rPr>
          <w:rStyle w:val="a5"/>
        </w:rPr>
        <w:footnoteReference w:id="2"/>
      </w:r>
      <w:r w:rsidR="00A231E9" w:rsidRPr="00D77C9C">
        <w:t xml:space="preserve">, </w:t>
      </w:r>
      <w:r w:rsidR="00EE7BB6">
        <w:t>Мы используем п</w:t>
      </w:r>
      <w:r w:rsidR="00A231E9" w:rsidRPr="00D77C9C">
        <w:t xml:space="preserve">оследние доступные данные - опрос </w:t>
      </w:r>
      <w:r w:rsidR="00475662" w:rsidRPr="00D77C9C">
        <w:t>осени 2015</w:t>
      </w:r>
      <w:r w:rsidR="00A231E9" w:rsidRPr="00D77C9C">
        <w:t xml:space="preserve"> г., в котором есть информация о поступление в ВУЗы. </w:t>
      </w:r>
    </w:p>
    <w:p w14:paraId="497CCFB9" w14:textId="77777777" w:rsidR="00475662" w:rsidRPr="00D77C9C" w:rsidRDefault="00475662" w:rsidP="00D77C9C">
      <w:pPr>
        <w:spacing w:line="360" w:lineRule="auto"/>
        <w:ind w:firstLine="709"/>
        <w:jc w:val="both"/>
      </w:pPr>
      <w:r w:rsidRPr="00D77C9C">
        <w:lastRenderedPageBreak/>
        <w:t xml:space="preserve">По результатам анализа с применением логистической регрессии </w:t>
      </w:r>
      <w:r w:rsidR="008E502C" w:rsidRPr="00D77C9C">
        <w:t>и структурного моделирования, было обнаружено, что даж</w:t>
      </w:r>
      <w:r w:rsidR="00FB7BD5" w:rsidRPr="00D77C9C">
        <w:t xml:space="preserve">е при одинаковой успеваемости, в том числе по </w:t>
      </w:r>
      <w:r w:rsidR="008E502C" w:rsidRPr="00D77C9C">
        <w:t xml:space="preserve"> результата</w:t>
      </w:r>
      <w:r w:rsidR="00FB7BD5" w:rsidRPr="00D77C9C">
        <w:t>м</w:t>
      </w:r>
      <w:r w:rsidR="008E502C" w:rsidRPr="00D77C9C">
        <w:t xml:space="preserve"> ЕГЭ</w:t>
      </w:r>
      <w:r w:rsidR="00FB7BD5" w:rsidRPr="00D77C9C">
        <w:t>,</w:t>
      </w:r>
      <w:r w:rsidR="008E502C" w:rsidRPr="00D77C9C">
        <w:t xml:space="preserve"> школьники с разным социальным происхождением имеют не одинаковые вероятности поступления в </w:t>
      </w:r>
      <w:r w:rsidR="00BA77D9" w:rsidRPr="00D77C9C">
        <w:t xml:space="preserve">вуз, и в </w:t>
      </w:r>
      <w:r w:rsidR="008E502C" w:rsidRPr="00D77C9C">
        <w:t>престижные вузы</w:t>
      </w:r>
      <w:r w:rsidR="00BA77D9" w:rsidRPr="00D77C9C">
        <w:t xml:space="preserve"> в частности</w:t>
      </w:r>
      <w:r w:rsidR="008E502C" w:rsidRPr="00D77C9C">
        <w:t>. Наличие высшего образова</w:t>
      </w:r>
      <w:r w:rsidR="00011DF4" w:rsidRPr="00D77C9C">
        <w:t>ния у матери, а также культурный</w:t>
      </w:r>
      <w:r w:rsidR="008E502C" w:rsidRPr="00D77C9C">
        <w:t xml:space="preserve"> капитал семьи, измеренны</w:t>
      </w:r>
      <w:r w:rsidR="00011DF4" w:rsidRPr="00D77C9C">
        <w:t>й</w:t>
      </w:r>
      <w:r w:rsidR="008E502C" w:rsidRPr="00D77C9C">
        <w:t xml:space="preserve"> </w:t>
      </w:r>
      <w:r w:rsidR="00FB7BD5" w:rsidRPr="00D77C9C">
        <w:t>количеством книг дома, существенно повышают шансы на поступ</w:t>
      </w:r>
      <w:r w:rsidR="00B34442" w:rsidRPr="00D77C9C">
        <w:t xml:space="preserve">ление в труднодоступные </w:t>
      </w:r>
      <w:r w:rsidR="00011DF4" w:rsidRPr="00D77C9C">
        <w:t xml:space="preserve">престижные </w:t>
      </w:r>
      <w:r w:rsidR="00B34442" w:rsidRPr="00D77C9C">
        <w:t>вузы</w:t>
      </w:r>
      <w:r w:rsidR="00BA77D9" w:rsidRPr="00D77C9C">
        <w:t xml:space="preserve">, тогда как школьники из менее благополучных семей даже при высокой успеваемости </w:t>
      </w:r>
      <w:r w:rsidR="0099794D" w:rsidRPr="00D77C9C">
        <w:t>с большей вероятностью поступают в</w:t>
      </w:r>
      <w:r w:rsidR="00BA77D9" w:rsidRPr="00D77C9C">
        <w:t xml:space="preserve"> </w:t>
      </w:r>
      <w:proofErr w:type="spellStart"/>
      <w:r w:rsidR="00BA77D9" w:rsidRPr="00D77C9C">
        <w:t>ссузы</w:t>
      </w:r>
      <w:proofErr w:type="spellEnd"/>
      <w:r w:rsidR="00BA77D9" w:rsidRPr="00D77C9C">
        <w:t xml:space="preserve"> или менее престижные вузы. Кроме того, д</w:t>
      </w:r>
      <w:r w:rsidR="00B34442" w:rsidRPr="00D77C9C">
        <w:t>аже при одинаковых показателях материального благополучия</w:t>
      </w:r>
      <w:r w:rsidR="00AF45C6" w:rsidRPr="00D77C9C">
        <w:t>,</w:t>
      </w:r>
      <w:r w:rsidR="00B34442" w:rsidRPr="00D77C9C">
        <w:t xml:space="preserve"> успеваемость школьников </w:t>
      </w:r>
      <w:r w:rsidR="00A84D03" w:rsidRPr="00D77C9C">
        <w:t xml:space="preserve">выше в семьях, с большим уровнем культурного капитала. </w:t>
      </w:r>
    </w:p>
    <w:p w14:paraId="5F0B0364" w14:textId="77777777" w:rsidR="00646DD7" w:rsidRDefault="00646DD7" w:rsidP="00D77C9C">
      <w:pPr>
        <w:pStyle w:val="a6"/>
        <w:tabs>
          <w:tab w:val="left" w:pos="224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439C106" w14:textId="5AD1B68C" w:rsidR="00C42C16" w:rsidRPr="00C773D4" w:rsidRDefault="00646DD7" w:rsidP="00646DD7">
      <w:pPr>
        <w:pStyle w:val="a6"/>
        <w:tabs>
          <w:tab w:val="left" w:pos="224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3D4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14:paraId="7B104753" w14:textId="77777777" w:rsidR="00646DD7" w:rsidRPr="00C773D4" w:rsidRDefault="00646DD7" w:rsidP="00646DD7">
      <w:pPr>
        <w:ind w:firstLine="709"/>
        <w:jc w:val="both"/>
      </w:pPr>
      <w:r w:rsidRPr="00C773D4">
        <w:rPr>
          <w:rFonts w:eastAsia="Times New Roman"/>
        </w:rPr>
        <w:t xml:space="preserve">Константиновский, Д. Л., Вознесенская, Е. Д., Попова, Е. С., &amp; Чередниченко, Г. А. (2015). </w:t>
      </w:r>
      <w:r w:rsidRPr="00C773D4">
        <w:rPr>
          <w:rFonts w:eastAsia="Times New Roman"/>
          <w:iCs/>
        </w:rPr>
        <w:t>Новые смыслы в образовательных стратегиях молодежи: 50 лет исследования</w:t>
      </w:r>
      <w:r w:rsidRPr="00C773D4">
        <w:rPr>
          <w:rFonts w:eastAsia="Times New Roman"/>
        </w:rPr>
        <w:t xml:space="preserve"> (ЦСП и М). Москва.</w:t>
      </w:r>
    </w:p>
    <w:p w14:paraId="4DFFE2A6" w14:textId="1640AECA" w:rsidR="00646DD7" w:rsidRPr="00C773D4" w:rsidRDefault="00646DD7" w:rsidP="00646DD7">
      <w:pPr>
        <w:ind w:firstLine="709"/>
        <w:jc w:val="both"/>
        <w:rPr>
          <w:rFonts w:eastAsia="Times New Roman"/>
          <w:lang w:val="en-US"/>
        </w:rPr>
      </w:pPr>
      <w:proofErr w:type="spellStart"/>
      <w:r w:rsidRPr="00C773D4">
        <w:rPr>
          <w:rFonts w:eastAsia="Times New Roman"/>
          <w:lang w:val="en-US"/>
        </w:rPr>
        <w:t>Boliver</w:t>
      </w:r>
      <w:proofErr w:type="spellEnd"/>
      <w:r w:rsidRPr="00C773D4">
        <w:rPr>
          <w:rFonts w:eastAsia="Times New Roman"/>
          <w:lang w:val="en-US"/>
        </w:rPr>
        <w:t>, V. (2011</w:t>
      </w:r>
      <w:proofErr w:type="gramStart"/>
      <w:r w:rsidRPr="00C773D4">
        <w:rPr>
          <w:rFonts w:eastAsia="Times New Roman"/>
          <w:lang w:val="en-US"/>
        </w:rPr>
        <w:t>).Expansion</w:t>
      </w:r>
      <w:proofErr w:type="gramEnd"/>
      <w:r w:rsidRPr="00C773D4">
        <w:rPr>
          <w:rFonts w:eastAsia="Times New Roman"/>
          <w:lang w:val="en-US"/>
        </w:rPr>
        <w:t xml:space="preserve">, differentiation, and the persistence of social class inequalities in British higher </w:t>
      </w:r>
      <w:proofErr w:type="spellStart"/>
      <w:r w:rsidRPr="00C773D4">
        <w:rPr>
          <w:rFonts w:eastAsia="Times New Roman"/>
          <w:lang w:val="en-US"/>
        </w:rPr>
        <w:t>education.</w:t>
      </w:r>
      <w:r w:rsidRPr="00C773D4">
        <w:rPr>
          <w:rFonts w:eastAsia="Times New Roman"/>
          <w:iCs/>
          <w:lang w:val="en-US"/>
        </w:rPr>
        <w:t>Higher</w:t>
      </w:r>
      <w:proofErr w:type="spellEnd"/>
      <w:r w:rsidRPr="00C773D4">
        <w:rPr>
          <w:rFonts w:eastAsia="Times New Roman"/>
          <w:iCs/>
          <w:lang w:val="en-US"/>
        </w:rPr>
        <w:t xml:space="preserve"> Education</w:t>
      </w:r>
      <w:r w:rsidRPr="00C773D4">
        <w:rPr>
          <w:rFonts w:eastAsia="Times New Roman"/>
          <w:lang w:val="en-US"/>
        </w:rPr>
        <w:t xml:space="preserve">, </w:t>
      </w:r>
      <w:r w:rsidRPr="00C773D4">
        <w:rPr>
          <w:rFonts w:eastAsia="Times New Roman"/>
          <w:iCs/>
          <w:lang w:val="en-US"/>
        </w:rPr>
        <w:t>61</w:t>
      </w:r>
      <w:r w:rsidRPr="00C773D4">
        <w:rPr>
          <w:rFonts w:eastAsia="Times New Roman"/>
          <w:lang w:val="en-US"/>
        </w:rPr>
        <w:t>(3), 229–242. http://doi.org/10.1007/s10734-010-9374-y.</w:t>
      </w:r>
    </w:p>
    <w:p w14:paraId="6CA6EB85" w14:textId="50F9B279" w:rsidR="00646DD7" w:rsidRPr="00C773D4" w:rsidRDefault="00646DD7" w:rsidP="00646DD7">
      <w:pPr>
        <w:ind w:firstLine="709"/>
        <w:jc w:val="both"/>
        <w:rPr>
          <w:rFonts w:eastAsia="Times New Roman"/>
          <w:lang w:val="en-US"/>
        </w:rPr>
      </w:pPr>
      <w:r w:rsidRPr="00C773D4">
        <w:rPr>
          <w:rFonts w:eastAsia="Times New Roman"/>
          <w:lang w:val="en-US"/>
        </w:rPr>
        <w:t xml:space="preserve">Hearn, J. C. (1988). Attendance at higher-cost colleges: Ascribed, socioeconomic, and academic influences on student enrollment patterns. </w:t>
      </w:r>
      <w:r w:rsidRPr="00C773D4">
        <w:rPr>
          <w:rFonts w:eastAsia="Times New Roman"/>
          <w:iCs/>
          <w:lang w:val="en-US"/>
        </w:rPr>
        <w:t>Economics of Education Review</w:t>
      </w:r>
      <w:r w:rsidRPr="00C773D4">
        <w:rPr>
          <w:rFonts w:eastAsia="Times New Roman"/>
          <w:lang w:val="en-US"/>
        </w:rPr>
        <w:t xml:space="preserve">, </w:t>
      </w:r>
      <w:r w:rsidRPr="00C773D4">
        <w:rPr>
          <w:rFonts w:eastAsia="Times New Roman"/>
          <w:iCs/>
          <w:lang w:val="en-US"/>
        </w:rPr>
        <w:t>7</w:t>
      </w:r>
      <w:r w:rsidRPr="00C773D4">
        <w:rPr>
          <w:rFonts w:eastAsia="Times New Roman"/>
          <w:lang w:val="en-US"/>
        </w:rPr>
        <w:t>(1), 65–76. http://doi.org/10.1016/0272-7757(88)90072-6.</w:t>
      </w:r>
    </w:p>
    <w:p w14:paraId="5AA638C3" w14:textId="7395B2CF" w:rsidR="00646DD7" w:rsidRPr="00C773D4" w:rsidRDefault="00646DD7" w:rsidP="00646DD7">
      <w:pPr>
        <w:ind w:firstLine="709"/>
        <w:jc w:val="both"/>
        <w:rPr>
          <w:rFonts w:eastAsia="Times New Roman"/>
          <w:lang w:val="en-US"/>
        </w:rPr>
      </w:pPr>
      <w:r w:rsidRPr="00C773D4">
        <w:rPr>
          <w:rFonts w:eastAsia="Times New Roman"/>
          <w:lang w:val="en-US"/>
        </w:rPr>
        <w:t xml:space="preserve">Lucas, S. R. (2001). Effectively Maintained Inequality: Education Transitions, Track Mobility, and Social Background Effects. </w:t>
      </w:r>
      <w:r w:rsidRPr="00C773D4">
        <w:rPr>
          <w:rFonts w:eastAsia="Times New Roman"/>
          <w:iCs/>
          <w:lang w:val="en-US"/>
        </w:rPr>
        <w:t>American Journal of Sociology</w:t>
      </w:r>
      <w:r w:rsidRPr="00C773D4">
        <w:rPr>
          <w:rFonts w:eastAsia="Times New Roman"/>
          <w:lang w:val="en-US"/>
        </w:rPr>
        <w:t xml:space="preserve">, </w:t>
      </w:r>
      <w:r w:rsidRPr="00C773D4">
        <w:rPr>
          <w:rFonts w:eastAsia="Times New Roman"/>
          <w:iCs/>
          <w:lang w:val="en-US"/>
        </w:rPr>
        <w:t>106</w:t>
      </w:r>
      <w:r w:rsidRPr="00C773D4">
        <w:rPr>
          <w:rFonts w:eastAsia="Times New Roman"/>
          <w:lang w:val="en-US"/>
        </w:rPr>
        <w:t>(6), 1642–1690. http://doi.org/10.1086/321300.</w:t>
      </w:r>
    </w:p>
    <w:p w14:paraId="35DC7CF6" w14:textId="66B2C753" w:rsidR="00646DD7" w:rsidRPr="00C773D4" w:rsidRDefault="00646DD7" w:rsidP="00646DD7">
      <w:pPr>
        <w:ind w:firstLine="709"/>
        <w:jc w:val="both"/>
      </w:pPr>
      <w:proofErr w:type="spellStart"/>
      <w:r w:rsidRPr="00C773D4">
        <w:rPr>
          <w:rFonts w:eastAsia="Times New Roman"/>
          <w:lang w:val="en-US"/>
        </w:rPr>
        <w:t>Raftery</w:t>
      </w:r>
      <w:proofErr w:type="spellEnd"/>
      <w:r w:rsidRPr="00C773D4">
        <w:rPr>
          <w:rFonts w:eastAsia="Times New Roman"/>
          <w:lang w:val="en-US"/>
        </w:rPr>
        <w:t>, A. E., &amp;</w:t>
      </w:r>
      <w:proofErr w:type="spellStart"/>
      <w:r w:rsidRPr="00C773D4">
        <w:rPr>
          <w:rFonts w:eastAsia="Times New Roman"/>
          <w:lang w:val="en-US"/>
        </w:rPr>
        <w:t>Hout</w:t>
      </w:r>
      <w:proofErr w:type="spellEnd"/>
      <w:r w:rsidRPr="00C773D4">
        <w:rPr>
          <w:rFonts w:eastAsia="Times New Roman"/>
          <w:lang w:val="en-US"/>
        </w:rPr>
        <w:t xml:space="preserve">, M. (1993). Maximally Maintained Inequality: Expansion, Reform, and Opportunity in Irish Education, 1921-75. </w:t>
      </w:r>
      <w:r w:rsidRPr="00C773D4">
        <w:rPr>
          <w:rFonts w:eastAsia="Times New Roman"/>
          <w:iCs/>
          <w:lang w:val="en-US"/>
        </w:rPr>
        <w:t>Sociology of Education</w:t>
      </w:r>
      <w:r w:rsidRPr="00C773D4">
        <w:rPr>
          <w:rFonts w:eastAsia="Times New Roman"/>
          <w:lang w:val="en-US"/>
        </w:rPr>
        <w:t xml:space="preserve">, </w:t>
      </w:r>
      <w:r w:rsidRPr="00C773D4">
        <w:rPr>
          <w:rFonts w:eastAsia="Times New Roman"/>
          <w:iCs/>
          <w:lang w:val="en-US"/>
        </w:rPr>
        <w:t>66</w:t>
      </w:r>
      <w:r w:rsidRPr="00C773D4">
        <w:rPr>
          <w:rFonts w:eastAsia="Times New Roman"/>
          <w:lang w:val="en-US"/>
        </w:rPr>
        <w:t>(1), 41. http://doi.org/10.2307/2112784</w:t>
      </w:r>
      <w:r w:rsidRPr="00C773D4">
        <w:rPr>
          <w:rFonts w:eastAsia="Times New Roman"/>
        </w:rPr>
        <w:t>.</w:t>
      </w:r>
    </w:p>
    <w:sectPr w:rsidR="00646DD7" w:rsidRPr="00C773D4" w:rsidSect="0060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ABF38" w14:textId="77777777" w:rsidR="009C4ACD" w:rsidRDefault="009C4ACD" w:rsidP="009F43F0">
      <w:r>
        <w:separator/>
      </w:r>
    </w:p>
  </w:endnote>
  <w:endnote w:type="continuationSeparator" w:id="0">
    <w:p w14:paraId="1D3FFC68" w14:textId="77777777" w:rsidR="009C4ACD" w:rsidRDefault="009C4ACD" w:rsidP="009F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A94CB" w14:textId="77777777" w:rsidR="009C4ACD" w:rsidRDefault="009C4ACD" w:rsidP="009F43F0">
      <w:r>
        <w:separator/>
      </w:r>
    </w:p>
  </w:footnote>
  <w:footnote w:type="continuationSeparator" w:id="0">
    <w:p w14:paraId="50D57A67" w14:textId="77777777" w:rsidR="009C4ACD" w:rsidRDefault="009C4ACD" w:rsidP="009F43F0">
      <w:r>
        <w:continuationSeparator/>
      </w:r>
    </w:p>
  </w:footnote>
  <w:footnote w:id="1">
    <w:p w14:paraId="5FE6F0E5" w14:textId="77777777" w:rsidR="009F43F0" w:rsidRPr="000F0464" w:rsidRDefault="009F43F0" w:rsidP="00C773D4">
      <w:pPr>
        <w:pStyle w:val="a3"/>
        <w:ind w:left="227" w:hanging="227"/>
        <w:jc w:val="both"/>
        <w:rPr>
          <w:rFonts w:ascii="Times New Roman" w:hAnsi="Times New Roman" w:cs="Times New Roman"/>
        </w:rPr>
      </w:pPr>
      <w:r w:rsidRPr="000F0464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 данным </w:t>
      </w:r>
      <w:proofErr w:type="spellStart"/>
      <w:r>
        <w:rPr>
          <w:rFonts w:ascii="Times New Roman" w:hAnsi="Times New Roman" w:cs="Times New Roman"/>
        </w:rPr>
        <w:t>РосСтата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E727A">
        <w:rPr>
          <w:rFonts w:ascii="Times New Roman" w:hAnsi="Times New Roman" w:cs="Times New Roman"/>
        </w:rPr>
        <w:t>http://www.gks.ru/free_doc/new_site/population/obraz/vp-obr1.htm</w:t>
      </w:r>
    </w:p>
  </w:footnote>
  <w:footnote w:id="2">
    <w:p w14:paraId="39B47D33" w14:textId="3E09B20B" w:rsidR="00A231E9" w:rsidRPr="00222B0A" w:rsidRDefault="00A231E9" w:rsidP="00C773D4">
      <w:pPr>
        <w:pStyle w:val="a3"/>
        <w:jc w:val="both"/>
        <w:rPr>
          <w:rFonts w:ascii="Times New Roman" w:hAnsi="Times New Roman" w:cs="Times New Roman"/>
        </w:rPr>
      </w:pPr>
      <w:r w:rsidRPr="00222B0A">
        <w:rPr>
          <w:rStyle w:val="a5"/>
          <w:rFonts w:ascii="Times New Roman" w:hAnsi="Times New Roman" w:cs="Times New Roman"/>
        </w:rPr>
        <w:footnoteRef/>
      </w:r>
      <w:r w:rsidR="00C773D4" w:rsidRPr="00C773D4">
        <w:rPr>
          <w:rFonts w:ascii="Times New Roman" w:hAnsi="Times New Roman" w:cs="Times New Roman"/>
        </w:rPr>
        <w:t xml:space="preserve"> </w:t>
      </w:r>
      <w:r w:rsidR="00EE7BB6" w:rsidRPr="00EE7BB6">
        <w:rPr>
          <w:rFonts w:ascii="Times New Roman" w:hAnsi="Times New Roman" w:cs="Times New Roman"/>
        </w:rPr>
        <w:t>https://trec.hse.ru/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62F0"/>
    <w:multiLevelType w:val="hybridMultilevel"/>
    <w:tmpl w:val="DF4E5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C56"/>
    <w:rsid w:val="00011DF4"/>
    <w:rsid w:val="00023265"/>
    <w:rsid w:val="000769BF"/>
    <w:rsid w:val="000B69C7"/>
    <w:rsid w:val="000E13A2"/>
    <w:rsid w:val="00132F76"/>
    <w:rsid w:val="00170188"/>
    <w:rsid w:val="0019115E"/>
    <w:rsid w:val="002233DC"/>
    <w:rsid w:val="002424DE"/>
    <w:rsid w:val="003020BF"/>
    <w:rsid w:val="00390AD7"/>
    <w:rsid w:val="003A7EFE"/>
    <w:rsid w:val="003F07C9"/>
    <w:rsid w:val="00475662"/>
    <w:rsid w:val="004C31DA"/>
    <w:rsid w:val="004E4C56"/>
    <w:rsid w:val="00552FE5"/>
    <w:rsid w:val="00555967"/>
    <w:rsid w:val="00601902"/>
    <w:rsid w:val="0063340B"/>
    <w:rsid w:val="00646DD7"/>
    <w:rsid w:val="0083067E"/>
    <w:rsid w:val="00870C4C"/>
    <w:rsid w:val="008E502C"/>
    <w:rsid w:val="00906135"/>
    <w:rsid w:val="0097243B"/>
    <w:rsid w:val="0099794D"/>
    <w:rsid w:val="009C4ACD"/>
    <w:rsid w:val="009D0D25"/>
    <w:rsid w:val="009E4BCD"/>
    <w:rsid w:val="009F43F0"/>
    <w:rsid w:val="00A231E9"/>
    <w:rsid w:val="00A27E89"/>
    <w:rsid w:val="00A316BE"/>
    <w:rsid w:val="00A52C4E"/>
    <w:rsid w:val="00A84D03"/>
    <w:rsid w:val="00AF45C6"/>
    <w:rsid w:val="00B34442"/>
    <w:rsid w:val="00B56A44"/>
    <w:rsid w:val="00BA77D9"/>
    <w:rsid w:val="00BD3F4D"/>
    <w:rsid w:val="00C03C0E"/>
    <w:rsid w:val="00C42C16"/>
    <w:rsid w:val="00C773D4"/>
    <w:rsid w:val="00CF19F2"/>
    <w:rsid w:val="00D77C9C"/>
    <w:rsid w:val="00DB4CC2"/>
    <w:rsid w:val="00DD64FA"/>
    <w:rsid w:val="00DE787F"/>
    <w:rsid w:val="00DE7989"/>
    <w:rsid w:val="00E46640"/>
    <w:rsid w:val="00EA4A04"/>
    <w:rsid w:val="00EE7BB6"/>
    <w:rsid w:val="00F1329F"/>
    <w:rsid w:val="00F57B68"/>
    <w:rsid w:val="00F76307"/>
    <w:rsid w:val="00F92127"/>
    <w:rsid w:val="00F957B2"/>
    <w:rsid w:val="00FB7BD5"/>
    <w:rsid w:val="00FD3F0D"/>
    <w:rsid w:val="00FD66E2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33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B4CC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F43F0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9F43F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F43F0"/>
    <w:rPr>
      <w:vertAlign w:val="superscript"/>
    </w:rPr>
  </w:style>
  <w:style w:type="character" w:customStyle="1" w:styleId="apple-converted-space">
    <w:name w:val="apple-converted-space"/>
    <w:basedOn w:val="a0"/>
    <w:rsid w:val="00132F76"/>
  </w:style>
  <w:style w:type="paragraph" w:styleId="a6">
    <w:name w:val="List Paragraph"/>
    <w:basedOn w:val="a"/>
    <w:uiPriority w:val="34"/>
    <w:qFormat/>
    <w:rsid w:val="00C42C1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3A7E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27E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E89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FD3F0D"/>
  </w:style>
  <w:style w:type="character" w:customStyle="1" w:styleId="ab">
    <w:name w:val="Схема документа Знак"/>
    <w:basedOn w:val="a0"/>
    <w:link w:val="aa"/>
    <w:uiPriority w:val="99"/>
    <w:semiHidden/>
    <w:rsid w:val="00FD3F0D"/>
    <w:rPr>
      <w:rFonts w:ascii="Times New Roman" w:hAnsi="Times New Roman" w:cs="Times New Roman"/>
      <w:sz w:val="24"/>
      <w:szCs w:val="24"/>
    </w:rPr>
  </w:style>
  <w:style w:type="paragraph" w:styleId="ac">
    <w:name w:val="Revision"/>
    <w:hidden/>
    <w:uiPriority w:val="99"/>
    <w:semiHidden/>
    <w:rsid w:val="00FD3F0D"/>
    <w:pPr>
      <w:spacing w:after="0" w:line="240" w:lineRule="auto"/>
    </w:pPr>
  </w:style>
  <w:style w:type="character" w:customStyle="1" w:styleId="translation-chunk">
    <w:name w:val="translation-chunk"/>
    <w:basedOn w:val="a0"/>
    <w:rsid w:val="00DB4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624</Words>
  <Characters>3557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Чиркина Татьяна Александровна</cp:lastModifiedBy>
  <cp:revision>22</cp:revision>
  <dcterms:created xsi:type="dcterms:W3CDTF">2016-05-27T08:11:00Z</dcterms:created>
  <dcterms:modified xsi:type="dcterms:W3CDTF">2016-07-29T14:38:00Z</dcterms:modified>
</cp:coreProperties>
</file>